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tblpY="-15"/>
        <w:tblW w:w="9199" w:type="dxa"/>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66"/>
        <w:gridCol w:w="6233"/>
      </w:tblGrid>
      <w:tr w:rsidR="007759F7" w:rsidRPr="00642CA9" w:rsidTr="007759F7">
        <w:trPr>
          <w:trHeight w:val="906"/>
        </w:trPr>
        <w:tc>
          <w:tcPr>
            <w:tcW w:w="9199" w:type="dxa"/>
            <w:gridSpan w:val="2"/>
            <w:shd w:val="clear" w:color="auto" w:fill="F4B083" w:themeFill="accent2" w:themeFillTint="99"/>
          </w:tcPr>
          <w:p w:rsidR="007759F7" w:rsidRPr="00642CA9" w:rsidRDefault="007759F7" w:rsidP="007759F7"/>
          <w:p w:rsidR="007759F7" w:rsidRPr="00642CA9" w:rsidRDefault="00004CF6" w:rsidP="007759F7">
            <w:pPr>
              <w:jc w:val="center"/>
            </w:pPr>
            <w:r>
              <w:rPr>
                <w:rFonts w:asciiTheme="majorHAnsi" w:hAnsiTheme="majorHAnsi" w:cstheme="majorHAnsi"/>
                <w:b/>
                <w:sz w:val="28"/>
                <w:szCs w:val="28"/>
              </w:rPr>
              <w:t>Training</w:t>
            </w:r>
            <w:r w:rsidR="007759F7">
              <w:rPr>
                <w:rFonts w:asciiTheme="majorHAnsi" w:hAnsiTheme="majorHAnsi" w:cstheme="majorHAnsi"/>
                <w:b/>
                <w:sz w:val="28"/>
                <w:szCs w:val="28"/>
              </w:rPr>
              <w:t xml:space="preserve"> LVB en GGZ</w:t>
            </w:r>
            <w:r>
              <w:rPr>
                <w:rFonts w:asciiTheme="majorHAnsi" w:hAnsiTheme="majorHAnsi" w:cstheme="majorHAnsi"/>
                <w:b/>
                <w:sz w:val="28"/>
                <w:szCs w:val="28"/>
              </w:rPr>
              <w:t>-problematiek</w:t>
            </w:r>
          </w:p>
        </w:tc>
      </w:tr>
      <w:tr w:rsidR="007759F7" w:rsidRPr="00642CA9" w:rsidTr="007759F7">
        <w:tc>
          <w:tcPr>
            <w:tcW w:w="2966" w:type="dxa"/>
          </w:tcPr>
          <w:p w:rsidR="007759F7" w:rsidRPr="00642CA9" w:rsidRDefault="007759F7" w:rsidP="007759F7">
            <w:r w:rsidRPr="00642CA9">
              <w:t>Inhoud</w:t>
            </w:r>
          </w:p>
        </w:tc>
        <w:tc>
          <w:tcPr>
            <w:tcW w:w="6233" w:type="dxa"/>
          </w:tcPr>
          <w:p w:rsidR="007759F7" w:rsidRPr="00642CA9" w:rsidRDefault="00004CF6" w:rsidP="00004CF6">
            <w:pPr>
              <w:pStyle w:val="Geenafstand"/>
            </w:pPr>
            <w:r>
              <w:t xml:space="preserve">Deze training </w:t>
            </w:r>
            <w:r w:rsidR="007759F7">
              <w:t xml:space="preserve">richt zich op het vergroten van kennis op het gebied van omgaan met mensen met een (licht) verstandelijke beperking in combinatie met GGZ-problematiek. </w:t>
            </w:r>
            <w:r w:rsidR="007759F7" w:rsidRPr="00A746F3">
              <w:t xml:space="preserve">Onder GGZ-problematiek vallen verschillende psychiatrische stoornissen en aandoeningen. Hierbij kun je bijvoorbeeld denken aan autisme, ADHD of een depressie. Vragen zoals: welke psychiatrische stoornissen en/of aandoeningen komen voor bij deze doelgroep en hoe </w:t>
            </w:r>
            <w:r w:rsidR="007759F7">
              <w:t>kun je dit herkennen</w:t>
            </w:r>
            <w:r w:rsidR="007759F7" w:rsidRPr="00A746F3">
              <w:t xml:space="preserve">, kunnen aan het einde van de </w:t>
            </w:r>
            <w:r>
              <w:t>training</w:t>
            </w:r>
            <w:r w:rsidR="007759F7">
              <w:t xml:space="preserve"> worden beantwoord. Ook wordt er aandacht besteed aan het omgaan met deze doelgroep, met name op het gebied van communicatie. Er wordt gewerkt met een eigen casus om de theorie te vertalen naar de praktijk. Hiernaast leren kandidaten hoe ze de sociale kaart kunnen gebruiken voor advies en verwijzing bij LVB en GGZ-problematiek. </w:t>
            </w:r>
            <w:r w:rsidR="007759F7">
              <w:br/>
            </w:r>
            <w:r w:rsidR="007759F7" w:rsidRPr="00642CA9">
              <w:t xml:space="preserve"> </w:t>
            </w:r>
          </w:p>
        </w:tc>
      </w:tr>
      <w:tr w:rsidR="007759F7" w:rsidRPr="00642CA9" w:rsidTr="007759F7">
        <w:tc>
          <w:tcPr>
            <w:tcW w:w="2966" w:type="dxa"/>
          </w:tcPr>
          <w:p w:rsidR="007759F7" w:rsidRPr="00642CA9" w:rsidRDefault="007759F7" w:rsidP="007759F7">
            <w:r w:rsidRPr="00642CA9">
              <w:t>Voor wie</w:t>
            </w:r>
          </w:p>
        </w:tc>
        <w:tc>
          <w:tcPr>
            <w:tcW w:w="6233" w:type="dxa"/>
          </w:tcPr>
          <w:p w:rsidR="007759F7" w:rsidRDefault="007759F7" w:rsidP="007759F7">
            <w:pPr>
              <w:pStyle w:val="Geenafstand"/>
              <w:rPr>
                <w:rFonts w:eastAsiaTheme="majorEastAsia" w:cstheme="majorBidi"/>
              </w:rPr>
            </w:pPr>
            <w:r>
              <w:rPr>
                <w:rFonts w:eastAsiaTheme="majorEastAsia" w:cstheme="majorBidi"/>
              </w:rPr>
              <w:t xml:space="preserve">De </w:t>
            </w:r>
            <w:r w:rsidR="00004CF6">
              <w:rPr>
                <w:rFonts w:eastAsiaTheme="majorEastAsia" w:cstheme="majorBidi"/>
              </w:rPr>
              <w:t>training</w:t>
            </w:r>
            <w:r>
              <w:rPr>
                <w:rFonts w:eastAsiaTheme="majorEastAsia" w:cstheme="majorBidi"/>
              </w:rPr>
              <w:t xml:space="preserve"> is bedoeld voor </w:t>
            </w:r>
            <w:r>
              <w:t>professionals en vrijwilligers die in hun werk in aanraking komen met mensen met een (licht) verstandelijke beperking (LVB) in combinatie met GGZ-problematiek. Werkvelden waaraan gedacht kan worden zijn de gemeente, het ziekenhuis, justitie, de politie, het onderwijs en sociaal werk.</w:t>
            </w:r>
          </w:p>
          <w:p w:rsidR="007759F7" w:rsidRDefault="007759F7" w:rsidP="007759F7"/>
          <w:p w:rsidR="007759F7" w:rsidRPr="00642CA9" w:rsidRDefault="007759F7" w:rsidP="00004CF6">
            <w:r>
              <w:t xml:space="preserve">Om deze </w:t>
            </w:r>
            <w:r w:rsidR="00004CF6">
              <w:t>training</w:t>
            </w:r>
            <w:r>
              <w:t xml:space="preserve"> te kunnen volgen, moeten kandidaten beschikken over theoretische basiskennis op het gebied van het herkennen van en het omgaan met mensen met een licht verstandelijke beperking. Heb je (nog) niet voldoende basiskennis, volg dan eerst de basisopleidi</w:t>
            </w:r>
            <w:r w:rsidR="00004CF6">
              <w:t xml:space="preserve">ng ‘Herkennen van en omgaan met een </w:t>
            </w:r>
            <w:r>
              <w:t>licht verstandelijke beperking’.</w:t>
            </w:r>
          </w:p>
        </w:tc>
      </w:tr>
      <w:tr w:rsidR="007759F7" w:rsidRPr="00642CA9" w:rsidTr="007759F7">
        <w:tc>
          <w:tcPr>
            <w:tcW w:w="2966" w:type="dxa"/>
          </w:tcPr>
          <w:p w:rsidR="007759F7" w:rsidRPr="00642CA9" w:rsidRDefault="007759F7" w:rsidP="007759F7">
            <w:r w:rsidRPr="00642CA9">
              <w:t>Lesvorm</w:t>
            </w:r>
          </w:p>
          <w:p w:rsidR="007759F7" w:rsidRPr="00642CA9" w:rsidRDefault="007759F7" w:rsidP="007759F7"/>
        </w:tc>
        <w:tc>
          <w:tcPr>
            <w:tcW w:w="6233" w:type="dxa"/>
          </w:tcPr>
          <w:p w:rsidR="007759F7" w:rsidRPr="00916AC6" w:rsidRDefault="00004CF6" w:rsidP="007759F7">
            <w:r>
              <w:t>PowerPoint</w:t>
            </w:r>
            <w:r w:rsidR="007759F7">
              <w:t xml:space="preserve"> presentatie en interactieve opdrachten. Geleid door </w:t>
            </w:r>
            <w:r w:rsidR="007759F7" w:rsidRPr="00916AC6">
              <w:t>een professional met kennis op het gebied van LVB en GGZ-problematiek.</w:t>
            </w:r>
            <w:r w:rsidR="007759F7">
              <w:t xml:space="preserve"> </w:t>
            </w:r>
            <w:r w:rsidR="00101B42">
              <w:br/>
            </w:r>
          </w:p>
        </w:tc>
      </w:tr>
      <w:tr w:rsidR="007759F7" w:rsidRPr="00642CA9" w:rsidTr="007759F7">
        <w:tc>
          <w:tcPr>
            <w:tcW w:w="2966" w:type="dxa"/>
          </w:tcPr>
          <w:p w:rsidR="007759F7" w:rsidRPr="00916AC6" w:rsidRDefault="007759F7" w:rsidP="007759F7">
            <w:r w:rsidRPr="00916AC6">
              <w:t>Resultaat</w:t>
            </w:r>
          </w:p>
          <w:p w:rsidR="007759F7" w:rsidRPr="00916AC6" w:rsidRDefault="007759F7" w:rsidP="007759F7"/>
        </w:tc>
        <w:tc>
          <w:tcPr>
            <w:tcW w:w="6233" w:type="dxa"/>
          </w:tcPr>
          <w:p w:rsidR="007759F7" w:rsidRDefault="007759F7" w:rsidP="007759F7">
            <w:r w:rsidRPr="00642CA9">
              <w:t xml:space="preserve">Na afloop </w:t>
            </w:r>
            <w:r>
              <w:t xml:space="preserve">van de </w:t>
            </w:r>
            <w:r w:rsidR="00004CF6">
              <w:t>training</w:t>
            </w:r>
            <w:r>
              <w:t>:</w:t>
            </w:r>
          </w:p>
          <w:p w:rsidR="007759F7" w:rsidRDefault="007759F7" w:rsidP="007759F7">
            <w:pPr>
              <w:numPr>
                <w:ilvl w:val="0"/>
                <w:numId w:val="2"/>
              </w:numPr>
            </w:pPr>
            <w:r w:rsidRPr="00642CA9">
              <w:t xml:space="preserve">Heeft de </w:t>
            </w:r>
            <w:r w:rsidR="00004CF6">
              <w:t>deelnemer</w:t>
            </w:r>
            <w:r w:rsidRPr="00642CA9">
              <w:t xml:space="preserve"> de algemene basiskennis over mensen met een licht verstandelijke beperking opgefrist;</w:t>
            </w:r>
          </w:p>
          <w:p w:rsidR="007759F7" w:rsidRDefault="007759F7" w:rsidP="009E4F4E">
            <w:pPr>
              <w:pStyle w:val="Lijstalinea"/>
              <w:numPr>
                <w:ilvl w:val="0"/>
                <w:numId w:val="2"/>
              </w:numPr>
              <w:spacing w:after="200"/>
            </w:pPr>
            <w:r>
              <w:t xml:space="preserve">Weet de </w:t>
            </w:r>
            <w:r w:rsidR="00004CF6">
              <w:t>deelnemer</w:t>
            </w:r>
            <w:r>
              <w:t xml:space="preserve"> welke psychische aandoeningen</w:t>
            </w:r>
            <w:r w:rsidR="00004CF6">
              <w:t xml:space="preserve"> en</w:t>
            </w:r>
            <w:r>
              <w:t xml:space="preserve"> stoornissen voorkomen bij jeugdi</w:t>
            </w:r>
            <w:r w:rsidR="009E4F4E">
              <w:t xml:space="preserve">gen en volwassenen met een </w:t>
            </w:r>
            <w:r w:rsidR="00004CF6">
              <w:t>licht verstandelijke beperking</w:t>
            </w:r>
            <w:r w:rsidR="009E4F4E">
              <w:t>;</w:t>
            </w:r>
          </w:p>
          <w:p w:rsidR="007759F7" w:rsidRDefault="007759F7" w:rsidP="007759F7">
            <w:pPr>
              <w:pStyle w:val="Lijstalinea"/>
              <w:numPr>
                <w:ilvl w:val="0"/>
                <w:numId w:val="2"/>
              </w:numPr>
              <w:spacing w:after="200" w:line="276" w:lineRule="auto"/>
            </w:pPr>
            <w:r>
              <w:t xml:space="preserve">Kan de </w:t>
            </w:r>
            <w:r w:rsidR="00004CF6">
              <w:t>deelnemer</w:t>
            </w:r>
            <w:r>
              <w:t xml:space="preserve"> bij jeugdigen en volwassen met </w:t>
            </w:r>
            <w:r w:rsidR="00004CF6">
              <w:t>een licht verstandelijke beperking</w:t>
            </w:r>
            <w:r>
              <w:t xml:space="preserve"> ook </w:t>
            </w:r>
            <w:r w:rsidR="00004CF6">
              <w:t>GGZ -</w:t>
            </w:r>
            <w:r w:rsidR="009E4F4E">
              <w:t>problematiek herkennen;</w:t>
            </w:r>
          </w:p>
          <w:p w:rsidR="007759F7" w:rsidRDefault="007759F7" w:rsidP="007759F7">
            <w:pPr>
              <w:pStyle w:val="Lijstalinea"/>
              <w:numPr>
                <w:ilvl w:val="0"/>
                <w:numId w:val="2"/>
              </w:numPr>
              <w:spacing w:after="200" w:line="276" w:lineRule="auto"/>
            </w:pPr>
            <w:r>
              <w:t xml:space="preserve">Heeft de </w:t>
            </w:r>
            <w:r w:rsidR="00004CF6">
              <w:t>deelnemer</w:t>
            </w:r>
            <w:r>
              <w:t xml:space="preserve"> theoretische kennis over de omgang met jeugdigen en volwassenen met LVB en GGZ-problematiek: op het gebied van com</w:t>
            </w:r>
            <w:r w:rsidR="009E4F4E">
              <w:t>municatie, houding en omgeving;</w:t>
            </w:r>
          </w:p>
          <w:p w:rsidR="007759F7" w:rsidRDefault="007759F7" w:rsidP="007759F7">
            <w:pPr>
              <w:pStyle w:val="Lijstalinea"/>
              <w:numPr>
                <w:ilvl w:val="0"/>
                <w:numId w:val="2"/>
              </w:numPr>
              <w:spacing w:after="200" w:line="276" w:lineRule="auto"/>
            </w:pPr>
            <w:r>
              <w:t xml:space="preserve">Kan de </w:t>
            </w:r>
            <w:r w:rsidR="00004CF6">
              <w:t>deelnemer</w:t>
            </w:r>
            <w:r>
              <w:t xml:space="preserve"> in de omgang met jeugdigen en </w:t>
            </w:r>
            <w:r>
              <w:lastRenderedPageBreak/>
              <w:t>volwassenen met LVB en GGZ-problematiek, zijn houding en communicatie aanpassen op het sociaal-emotioneel en cognitief</w:t>
            </w:r>
            <w:r w:rsidR="009E4F4E">
              <w:t xml:space="preserve"> niveau van de gesprekspartner;</w:t>
            </w:r>
          </w:p>
          <w:p w:rsidR="007759F7" w:rsidRPr="00642CA9" w:rsidRDefault="007759F7" w:rsidP="00004CF6">
            <w:pPr>
              <w:pStyle w:val="Lijstalinea"/>
              <w:numPr>
                <w:ilvl w:val="0"/>
                <w:numId w:val="2"/>
              </w:numPr>
              <w:spacing w:after="200" w:line="276" w:lineRule="auto"/>
            </w:pPr>
            <w:r>
              <w:t xml:space="preserve">Heeft de </w:t>
            </w:r>
            <w:r w:rsidR="00004CF6">
              <w:t>deelnemer</w:t>
            </w:r>
            <w:r>
              <w:t xml:space="preserve"> kennis over de sociale kaart voor LVB en GGZ-problematiek en hoe deze in de praktijk te gebruiken is. </w:t>
            </w:r>
          </w:p>
        </w:tc>
      </w:tr>
      <w:tr w:rsidR="007759F7" w:rsidRPr="00642CA9" w:rsidTr="007759F7">
        <w:tc>
          <w:tcPr>
            <w:tcW w:w="2966" w:type="dxa"/>
          </w:tcPr>
          <w:p w:rsidR="007759F7" w:rsidRPr="00642CA9" w:rsidRDefault="007759F7" w:rsidP="007759F7">
            <w:r w:rsidRPr="00642CA9">
              <w:lastRenderedPageBreak/>
              <w:t>Tijdsinvestering</w:t>
            </w:r>
          </w:p>
          <w:p w:rsidR="007759F7" w:rsidRPr="00642CA9" w:rsidRDefault="007759F7" w:rsidP="007759F7"/>
        </w:tc>
        <w:tc>
          <w:tcPr>
            <w:tcW w:w="6233" w:type="dxa"/>
          </w:tcPr>
          <w:p w:rsidR="007759F7" w:rsidRPr="00642CA9" w:rsidRDefault="00004CF6" w:rsidP="007759F7">
            <w:r>
              <w:t xml:space="preserve">De totale tijdsinvestering is </w:t>
            </w:r>
            <w:r w:rsidR="00B92D75">
              <w:t xml:space="preserve">één dagdeel van </w:t>
            </w:r>
            <w:bookmarkStart w:id="0" w:name="_GoBack"/>
            <w:bookmarkEnd w:id="0"/>
            <w:r>
              <w:t>4 uur.</w:t>
            </w:r>
          </w:p>
          <w:p w:rsidR="007759F7" w:rsidRPr="00642CA9" w:rsidRDefault="007759F7" w:rsidP="007759F7"/>
        </w:tc>
      </w:tr>
      <w:tr w:rsidR="007759F7" w:rsidRPr="00642CA9" w:rsidTr="007759F7">
        <w:tc>
          <w:tcPr>
            <w:tcW w:w="2966" w:type="dxa"/>
          </w:tcPr>
          <w:p w:rsidR="007759F7" w:rsidRPr="00642CA9" w:rsidRDefault="007759F7" w:rsidP="007759F7">
            <w:r w:rsidRPr="00642CA9">
              <w:t>Programma</w:t>
            </w:r>
          </w:p>
        </w:tc>
        <w:tc>
          <w:tcPr>
            <w:tcW w:w="6233" w:type="dxa"/>
          </w:tcPr>
          <w:p w:rsidR="00004CF6" w:rsidRDefault="005516E8" w:rsidP="005516E8">
            <w:pPr>
              <w:pStyle w:val="Geenafstand"/>
              <w:ind w:left="30"/>
            </w:pPr>
            <w:r>
              <w:t>De volgende onderwerpen komen tijdens</w:t>
            </w:r>
            <w:r w:rsidR="009E4F4E">
              <w:t xml:space="preserve"> de </w:t>
            </w:r>
            <w:r w:rsidR="00004CF6">
              <w:t>training</w:t>
            </w:r>
            <w:r w:rsidR="009E4F4E">
              <w:t xml:space="preserve"> aan bod: </w:t>
            </w:r>
          </w:p>
          <w:p w:rsidR="005516E8" w:rsidRDefault="00004CF6" w:rsidP="005516E8">
            <w:pPr>
              <w:pStyle w:val="Geenafstand"/>
              <w:ind w:left="30"/>
            </w:pPr>
            <w:r>
              <w:t>- Toe</w:t>
            </w:r>
            <w:r w:rsidR="005516E8">
              <w:t>lichting programma en leerdoelen</w:t>
            </w:r>
            <w:r w:rsidR="009E4F4E">
              <w:br/>
              <w:t xml:space="preserve">-Theorie over LVB: opfrissen kennis </w:t>
            </w:r>
          </w:p>
          <w:p w:rsidR="009E4F4E" w:rsidRDefault="009E4F4E" w:rsidP="009E4F4E">
            <w:pPr>
              <w:pStyle w:val="Geenafstand"/>
              <w:ind w:left="30"/>
            </w:pPr>
            <w:r>
              <w:t>-</w:t>
            </w:r>
            <w:r w:rsidR="005516E8">
              <w:t xml:space="preserve">Problematiek op </w:t>
            </w:r>
            <w:r>
              <w:t>beeld zien om beter te herkennen</w:t>
            </w:r>
            <w:r>
              <w:br/>
              <w:t>-</w:t>
            </w:r>
            <w:r w:rsidR="005516E8">
              <w:t xml:space="preserve">Theorie </w:t>
            </w:r>
            <w:r>
              <w:t xml:space="preserve">over </w:t>
            </w:r>
            <w:r w:rsidR="005516E8">
              <w:t>GGZ</w:t>
            </w:r>
            <w:r>
              <w:t>-problematiek bij mensen met LVB</w:t>
            </w:r>
            <w:r>
              <w:br/>
              <w:t>-</w:t>
            </w:r>
            <w:r w:rsidR="005516E8">
              <w:t>Herkennen van de problematiek in de eigen casus</w:t>
            </w:r>
            <w:r>
              <w:br/>
              <w:t>-Theorie over omgang: communicatie, houding en omgeving</w:t>
            </w:r>
          </w:p>
          <w:p w:rsidR="009E4F4E" w:rsidRDefault="009E4F4E" w:rsidP="009E4F4E">
            <w:pPr>
              <w:pStyle w:val="Geenafstand"/>
              <w:ind w:left="30"/>
            </w:pPr>
            <w:r>
              <w:t>-Toepassen van theorie omgang LVB en GGZ</w:t>
            </w:r>
          </w:p>
          <w:p w:rsidR="005516E8" w:rsidRDefault="009E4F4E" w:rsidP="009E4F4E">
            <w:pPr>
              <w:pStyle w:val="Geenafstand"/>
              <w:ind w:left="30"/>
            </w:pPr>
            <w:r>
              <w:t xml:space="preserve">-Hoe gebruik je een sociale kaart </w:t>
            </w:r>
          </w:p>
          <w:p w:rsidR="009E4F4E" w:rsidRPr="00642CA9" w:rsidRDefault="009E4F4E" w:rsidP="009E4F4E">
            <w:pPr>
              <w:pStyle w:val="Geenafstand"/>
              <w:ind w:left="30"/>
            </w:pPr>
            <w:r>
              <w:t>-Afsluiting</w:t>
            </w:r>
            <w:r>
              <w:br/>
            </w:r>
          </w:p>
        </w:tc>
      </w:tr>
      <w:tr w:rsidR="007759F7" w:rsidRPr="00642CA9" w:rsidTr="007759F7">
        <w:tc>
          <w:tcPr>
            <w:tcW w:w="2966" w:type="dxa"/>
          </w:tcPr>
          <w:p w:rsidR="007759F7" w:rsidRPr="00642CA9" w:rsidRDefault="007759F7" w:rsidP="007759F7">
            <w:r w:rsidRPr="00642CA9">
              <w:t>Registerpunten</w:t>
            </w:r>
          </w:p>
        </w:tc>
        <w:tc>
          <w:tcPr>
            <w:tcW w:w="6233" w:type="dxa"/>
          </w:tcPr>
          <w:p w:rsidR="007759F7" w:rsidRPr="00642CA9" w:rsidRDefault="007759F7" w:rsidP="007759F7">
            <w:r w:rsidRPr="00642CA9">
              <w:t>SKJ</w:t>
            </w:r>
          </w:p>
          <w:p w:rsidR="007759F7" w:rsidRPr="00642CA9" w:rsidRDefault="007759F7" w:rsidP="007759F7">
            <w:r w:rsidRPr="00642CA9">
              <w:t>Registerplein</w:t>
            </w:r>
          </w:p>
          <w:p w:rsidR="007759F7" w:rsidRPr="00642CA9" w:rsidRDefault="007759F7" w:rsidP="007759F7">
            <w:r w:rsidRPr="00642CA9">
              <w:t>…..</w:t>
            </w:r>
          </w:p>
        </w:tc>
      </w:tr>
      <w:tr w:rsidR="007759F7" w:rsidRPr="00642CA9" w:rsidTr="007759F7">
        <w:tc>
          <w:tcPr>
            <w:tcW w:w="2966" w:type="dxa"/>
          </w:tcPr>
          <w:p w:rsidR="007759F7" w:rsidRPr="00642CA9" w:rsidRDefault="007759F7" w:rsidP="007759F7">
            <w:r w:rsidRPr="00642CA9">
              <w:t>Kosten</w:t>
            </w:r>
          </w:p>
          <w:p w:rsidR="007759F7" w:rsidRPr="00642CA9" w:rsidRDefault="007759F7" w:rsidP="007759F7"/>
        </w:tc>
        <w:tc>
          <w:tcPr>
            <w:tcW w:w="6233" w:type="dxa"/>
          </w:tcPr>
          <w:p w:rsidR="007759F7" w:rsidRPr="00642CA9" w:rsidRDefault="007759F7" w:rsidP="007759F7"/>
        </w:tc>
      </w:tr>
    </w:tbl>
    <w:p w:rsidR="00166DB1" w:rsidRDefault="00166DB1" w:rsidP="00166DB1"/>
    <w:p w:rsidR="00F156DF" w:rsidRPr="008E4C8D" w:rsidRDefault="00F156DF" w:rsidP="00166DB1"/>
    <w:sectPr w:rsidR="00F156DF" w:rsidRPr="008E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456"/>
    <w:multiLevelType w:val="hybridMultilevel"/>
    <w:tmpl w:val="FD3C6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5A23FEB"/>
    <w:multiLevelType w:val="hybridMultilevel"/>
    <w:tmpl w:val="B8F88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1"/>
    <w:rsid w:val="00004CF6"/>
    <w:rsid w:val="00042609"/>
    <w:rsid w:val="00101B42"/>
    <w:rsid w:val="00166DB1"/>
    <w:rsid w:val="002A615B"/>
    <w:rsid w:val="005516E8"/>
    <w:rsid w:val="006121A0"/>
    <w:rsid w:val="00642CA9"/>
    <w:rsid w:val="007759F7"/>
    <w:rsid w:val="007F1B92"/>
    <w:rsid w:val="008C156A"/>
    <w:rsid w:val="008E4C8D"/>
    <w:rsid w:val="00907230"/>
    <w:rsid w:val="009E4F4E"/>
    <w:rsid w:val="00A0795C"/>
    <w:rsid w:val="00A276F4"/>
    <w:rsid w:val="00AC2591"/>
    <w:rsid w:val="00AF7258"/>
    <w:rsid w:val="00B21B70"/>
    <w:rsid w:val="00B92D75"/>
    <w:rsid w:val="00B93FDE"/>
    <w:rsid w:val="00C24D93"/>
    <w:rsid w:val="00E258B3"/>
    <w:rsid w:val="00F15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642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642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kleine</dc:creator>
  <cp:lastModifiedBy>Corina van Dongen</cp:lastModifiedBy>
  <cp:revision>8</cp:revision>
  <dcterms:created xsi:type="dcterms:W3CDTF">2017-02-08T09:59:00Z</dcterms:created>
  <dcterms:modified xsi:type="dcterms:W3CDTF">2017-02-21T10:41:00Z</dcterms:modified>
</cp:coreProperties>
</file>